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8620">
      <w:pPr>
        <w:spacing w:before="120" w:after="120" w:line="288" w:lineRule="auto"/>
        <w:jc w:val="center"/>
        <w:rPr>
          <w:rFonts w:ascii="Arial" w:hAnsi="Arial" w:eastAsia="等线" w:cs="Arial"/>
          <w:b/>
          <w:bCs/>
          <w:sz w:val="22"/>
        </w:rPr>
      </w:pPr>
      <w:r>
        <w:rPr>
          <w:rFonts w:hint="eastAsia" w:ascii="Arial" w:hAnsi="Arial" w:eastAsia="等线" w:cs="Arial"/>
          <w:b/>
          <w:bCs/>
          <w:sz w:val="22"/>
          <w:lang w:val="zh-TW"/>
        </w:rPr>
        <w:t>天津市建筑工程职工大学2026年度校舍加固改造项目测绘服务</w:t>
      </w: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评</w:t>
      </w:r>
      <w:r>
        <w:rPr>
          <w:rFonts w:hint="eastAsia" w:ascii="Arial" w:hAnsi="Arial" w:eastAsia="等线" w:cs="Arial"/>
          <w:b/>
          <w:bCs/>
          <w:sz w:val="22"/>
        </w:rPr>
        <w:t>分表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4"/>
        <w:gridCol w:w="1347"/>
        <w:gridCol w:w="879"/>
        <w:gridCol w:w="5828"/>
        <w:gridCol w:w="1479"/>
        <w:gridCol w:w="1328"/>
        <w:gridCol w:w="1222"/>
        <w:gridCol w:w="1613"/>
      </w:tblGrid>
      <w:tr w14:paraId="2BCA134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7908A">
            <w:pPr>
              <w:spacing w:before="120" w:after="120" w:line="288" w:lineRule="auto"/>
              <w:jc w:val="center"/>
              <w:rPr>
                <w:b/>
                <w:bCs/>
                <w:highlight w:val="none"/>
              </w:rPr>
            </w:pPr>
            <w:r>
              <w:rPr>
                <w:rFonts w:ascii="Arial" w:hAnsi="Arial" w:eastAsia="等线" w:cs="Arial"/>
                <w:b/>
                <w:bCs/>
                <w:sz w:val="22"/>
                <w:highlight w:val="none"/>
              </w:rPr>
              <w:t>序号</w:t>
            </w:r>
          </w:p>
        </w:tc>
        <w:tc>
          <w:tcPr>
            <w:tcW w:w="1347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58178">
            <w:pPr>
              <w:spacing w:before="120" w:after="120" w:line="288" w:lineRule="auto"/>
              <w:jc w:val="center"/>
              <w:rPr>
                <w:b/>
                <w:bCs/>
                <w:highlight w:val="none"/>
              </w:rPr>
            </w:pPr>
            <w:r>
              <w:rPr>
                <w:rFonts w:ascii="Arial" w:hAnsi="Arial" w:eastAsia="等线" w:cs="Arial"/>
                <w:b/>
                <w:bCs/>
                <w:sz w:val="22"/>
                <w:highlight w:val="none"/>
              </w:rPr>
              <w:t>评分维度</w:t>
            </w:r>
          </w:p>
        </w:tc>
        <w:tc>
          <w:tcPr>
            <w:tcW w:w="879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FCAD7">
            <w:pPr>
              <w:spacing w:before="120" w:after="120" w:line="288" w:lineRule="auto"/>
              <w:jc w:val="center"/>
              <w:rPr>
                <w:b/>
                <w:bCs/>
                <w:highlight w:val="none"/>
              </w:rPr>
            </w:pPr>
            <w:r>
              <w:rPr>
                <w:rFonts w:ascii="Arial" w:hAnsi="Arial" w:eastAsia="等线" w:cs="Arial"/>
                <w:b/>
                <w:bCs/>
                <w:sz w:val="22"/>
                <w:highlight w:val="none"/>
              </w:rPr>
              <w:t>满分分值</w:t>
            </w:r>
          </w:p>
        </w:tc>
        <w:tc>
          <w:tcPr>
            <w:tcW w:w="5828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09FF3">
            <w:pPr>
              <w:spacing w:before="120" w:after="120" w:line="288" w:lineRule="auto"/>
              <w:jc w:val="center"/>
              <w:rPr>
                <w:b/>
                <w:bCs/>
                <w:highlight w:val="none"/>
              </w:rPr>
            </w:pPr>
            <w:r>
              <w:rPr>
                <w:rFonts w:ascii="Arial" w:hAnsi="Arial" w:eastAsia="等线" w:cs="Arial"/>
                <w:b/>
                <w:bCs/>
                <w:sz w:val="22"/>
                <w:highlight w:val="none"/>
              </w:rPr>
              <w:t>评分标准</w:t>
            </w:r>
          </w:p>
        </w:tc>
        <w:tc>
          <w:tcPr>
            <w:tcW w:w="4029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4AAAC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b/>
                <w:bCs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b/>
                <w:bCs/>
                <w:sz w:val="22"/>
                <w:highlight w:val="none"/>
              </w:rPr>
              <w:t>供应商得分情况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43681">
            <w:pPr>
              <w:spacing w:before="120" w:after="120" w:line="288" w:lineRule="auto"/>
              <w:jc w:val="center"/>
              <w:rPr>
                <w:b/>
                <w:bCs/>
                <w:highlight w:val="none"/>
              </w:rPr>
            </w:pPr>
            <w:r>
              <w:rPr>
                <w:rFonts w:ascii="Arial" w:hAnsi="Arial" w:eastAsia="等线" w:cs="Arial"/>
                <w:b/>
                <w:bCs/>
                <w:sz w:val="22"/>
                <w:highlight w:val="none"/>
              </w:rPr>
              <w:t>备注</w:t>
            </w:r>
          </w:p>
        </w:tc>
      </w:tr>
      <w:tr w14:paraId="4D8BACA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CDB2B">
            <w:pPr>
              <w:spacing w:before="120" w:after="120" w:line="288" w:lineRule="auto"/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347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92C27">
            <w:pPr>
              <w:spacing w:before="120" w:after="120" w:line="288" w:lineRule="auto"/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8D689">
            <w:pPr>
              <w:spacing w:before="120" w:after="120" w:line="288" w:lineRule="auto"/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5828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C65CB">
            <w:pPr>
              <w:spacing w:before="120" w:after="120" w:line="288" w:lineRule="auto"/>
              <w:jc w:val="center"/>
              <w:rPr>
                <w:b/>
                <w:bCs/>
                <w:highlight w:val="none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CF2BA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b/>
                <w:bCs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b/>
                <w:bCs/>
                <w:sz w:val="22"/>
                <w:highlight w:val="none"/>
              </w:rPr>
              <w:t>XXX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BD9CD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b/>
                <w:bCs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b/>
                <w:bCs/>
                <w:sz w:val="22"/>
                <w:highlight w:val="none"/>
              </w:rPr>
              <w:t>XXX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E33BF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b/>
                <w:bCs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b/>
                <w:bCs/>
                <w:sz w:val="22"/>
                <w:highlight w:val="none"/>
              </w:rPr>
              <w:t>XXX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2EA876">
            <w:pPr>
              <w:spacing w:before="120" w:after="120" w:line="288" w:lineRule="auto"/>
              <w:jc w:val="left"/>
              <w:rPr>
                <w:rFonts w:ascii="Arial" w:hAnsi="Arial" w:eastAsia="等线" w:cs="Arial"/>
                <w:b/>
                <w:bCs/>
                <w:sz w:val="22"/>
                <w:highlight w:val="none"/>
              </w:rPr>
            </w:pPr>
          </w:p>
        </w:tc>
      </w:tr>
      <w:tr w14:paraId="5A38127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3" w:hRule="atLeast"/>
        </w:trPr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63924">
            <w:pPr>
              <w:spacing w:before="120" w:after="120" w:line="288" w:lineRule="auto"/>
              <w:jc w:val="left"/>
              <w:rPr>
                <w:highlight w:val="none"/>
              </w:rPr>
            </w:pPr>
            <w:r>
              <w:rPr>
                <w:rFonts w:ascii="Arial" w:hAnsi="Arial" w:eastAsia="等线" w:cs="Arial"/>
                <w:sz w:val="22"/>
                <w:highlight w:val="none"/>
              </w:rPr>
              <w:t>一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3A3C6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highlight w:val="none"/>
              </w:rPr>
            </w:pPr>
            <w:r>
              <w:rPr>
                <w:rFonts w:ascii="Arial" w:hAnsi="Arial" w:eastAsia="等线" w:cs="Arial"/>
                <w:sz w:val="22"/>
                <w:highlight w:val="none"/>
              </w:rPr>
              <w:t>价格分</w:t>
            </w:r>
          </w:p>
          <w:p w14:paraId="5F5565AD">
            <w:pPr>
              <w:spacing w:before="120" w:after="120" w:line="288" w:lineRule="auto"/>
              <w:jc w:val="left"/>
              <w:rPr>
                <w:highlight w:val="none"/>
              </w:rPr>
            </w:pPr>
            <w:r>
              <w:rPr>
                <w:rFonts w:ascii="Arial" w:hAnsi="Arial" w:eastAsia="等线" w:cs="Arial"/>
                <w:sz w:val="22"/>
                <w:highlight w:val="none"/>
              </w:rPr>
              <w:t>（第一部分）</w:t>
            </w:r>
          </w:p>
        </w:tc>
        <w:tc>
          <w:tcPr>
            <w:tcW w:w="8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E5A54">
            <w:pPr>
              <w:spacing w:before="120" w:after="120" w:line="288" w:lineRule="auto"/>
              <w:jc w:val="left"/>
              <w:rPr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10</w:t>
            </w:r>
            <w:r>
              <w:rPr>
                <w:rFonts w:ascii="Arial" w:hAnsi="Arial" w:eastAsia="等线" w:cs="Arial"/>
                <w:sz w:val="22"/>
                <w:highlight w:val="none"/>
              </w:rPr>
              <w:t>分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1EDA9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1</w:t>
            </w:r>
            <w:r>
              <w:rPr>
                <w:rFonts w:ascii="Arial" w:hAnsi="Arial" w:eastAsia="等线" w:cs="Arial"/>
                <w:sz w:val="22"/>
                <w:highlight w:val="none"/>
              </w:rPr>
              <w:t>.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投标报价超过采购预算的，投标无效，未超过采购预算的投标报价按以下公式进行计算；</w:t>
            </w:r>
          </w:p>
          <w:p w14:paraId="47A2ECDA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highlight w:val="none"/>
              </w:rPr>
            </w:pPr>
            <w:r>
              <w:rPr>
                <w:rFonts w:ascii="Arial" w:hAnsi="Arial" w:eastAsia="等线" w:cs="Arial"/>
                <w:sz w:val="22"/>
                <w:highlight w:val="none"/>
              </w:rPr>
              <w:t>2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.投标报价得分=（评标基准价/投标报价）×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；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取最低报价为基准价。</w:t>
            </w:r>
          </w:p>
          <w:p w14:paraId="50433139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3</w:t>
            </w:r>
            <w:r>
              <w:rPr>
                <w:rFonts w:ascii="Arial" w:hAnsi="Arial" w:eastAsia="等线" w:cs="Arial"/>
                <w:sz w:val="22"/>
                <w:highlight w:val="none"/>
              </w:rPr>
              <w:t>.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满足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需求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文件要求且投标报价最低的投标报价为评标基准价</w:t>
            </w:r>
            <w:r>
              <w:rPr>
                <w:rFonts w:ascii="Arial" w:hAnsi="Arial" w:eastAsia="等线" w:cs="Arial"/>
                <w:sz w:val="22"/>
                <w:highlight w:val="none"/>
              </w:rPr>
              <w:t>。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A678A">
            <w:pPr>
              <w:rPr>
                <w:highlight w:val="none"/>
              </w:rPr>
            </w:pPr>
          </w:p>
        </w:tc>
        <w:tc>
          <w:tcPr>
            <w:tcW w:w="13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8A52F">
            <w:pPr>
              <w:rPr>
                <w:highlight w:val="none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E8B93">
            <w:pPr>
              <w:rPr>
                <w:highlight w:val="none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FAAC3">
            <w:pPr>
              <w:spacing w:before="120" w:after="120" w:line="288" w:lineRule="auto"/>
              <w:jc w:val="left"/>
              <w:rPr>
                <w:highlight w:val="none"/>
              </w:rPr>
            </w:pPr>
            <w:r>
              <w:rPr>
                <w:rFonts w:ascii="Arial" w:hAnsi="Arial" w:eastAsia="等线" w:cs="Arial"/>
                <w:sz w:val="22"/>
                <w:highlight w:val="none"/>
              </w:rPr>
              <w:t>需核查报价函是否提供</w:t>
            </w:r>
          </w:p>
        </w:tc>
      </w:tr>
      <w:tr w14:paraId="1676ADC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96711">
            <w:pPr>
              <w:spacing w:before="120" w:after="120" w:line="288" w:lineRule="auto"/>
              <w:jc w:val="left"/>
              <w:rPr>
                <w:highlight w:val="none"/>
              </w:rPr>
            </w:pPr>
            <w:r>
              <w:rPr>
                <w:rFonts w:ascii="Arial" w:hAnsi="Arial" w:eastAsia="等线" w:cs="Arial"/>
                <w:sz w:val="22"/>
                <w:highlight w:val="none"/>
              </w:rPr>
              <w:t>二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547837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highlight w:val="none"/>
              </w:rPr>
            </w:pPr>
            <w:r>
              <w:rPr>
                <w:rFonts w:ascii="Arial" w:hAnsi="Arial" w:eastAsia="等线" w:cs="Arial"/>
                <w:sz w:val="22"/>
                <w:highlight w:val="none"/>
              </w:rPr>
              <w:t>客观分</w:t>
            </w:r>
          </w:p>
          <w:p w14:paraId="5D2DA70C">
            <w:pPr>
              <w:spacing w:before="120" w:after="120" w:line="288" w:lineRule="auto"/>
              <w:jc w:val="left"/>
              <w:rPr>
                <w:highlight w:val="none"/>
              </w:rPr>
            </w:pPr>
            <w:r>
              <w:rPr>
                <w:rFonts w:ascii="Arial" w:hAnsi="Arial" w:eastAsia="等线" w:cs="Arial"/>
                <w:sz w:val="22"/>
                <w:highlight w:val="none"/>
              </w:rPr>
              <w:t>（第二部分）</w:t>
            </w:r>
          </w:p>
        </w:tc>
        <w:tc>
          <w:tcPr>
            <w:tcW w:w="8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F438F">
            <w:pPr>
              <w:spacing w:before="120" w:after="120" w:line="288" w:lineRule="auto"/>
              <w:jc w:val="left"/>
              <w:rPr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30</w:t>
            </w:r>
            <w:r>
              <w:rPr>
                <w:rFonts w:ascii="Arial" w:hAnsi="Arial" w:eastAsia="等线" w:cs="Arial"/>
                <w:sz w:val="22"/>
                <w:highlight w:val="none"/>
              </w:rPr>
              <w:t>分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8D5C5">
            <w:pPr>
              <w:numPr>
                <w:ilvl w:val="0"/>
                <w:numId w:val="1"/>
              </w:num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ascii="Arial" w:hAnsi="Arial" w:eastAsia="等线" w:cs="Arial"/>
                <w:sz w:val="22"/>
                <w:highlight w:val="none"/>
              </w:rPr>
              <w:t>供应商业绩（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15</w:t>
            </w:r>
            <w:r>
              <w:rPr>
                <w:rFonts w:ascii="Arial" w:hAnsi="Arial" w:eastAsia="等线" w:cs="Arial"/>
                <w:sz w:val="22"/>
                <w:highlight w:val="none"/>
              </w:rPr>
              <w:t>分）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ascii="Arial" w:hAnsi="Arial" w:eastAsia="等线" w:cs="Arial"/>
                <w:sz w:val="22"/>
                <w:highlight w:val="none"/>
              </w:rPr>
              <w:t>提供202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3</w:t>
            </w:r>
            <w:r>
              <w:rPr>
                <w:rFonts w:ascii="Arial" w:hAnsi="Arial" w:eastAsia="等线" w:cs="Arial"/>
                <w:sz w:val="22"/>
                <w:highlight w:val="none"/>
              </w:rPr>
              <w:t>年4月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1日</w:t>
            </w:r>
            <w:r>
              <w:rPr>
                <w:rFonts w:ascii="Arial" w:hAnsi="Arial" w:eastAsia="等线" w:cs="Arial"/>
                <w:sz w:val="22"/>
                <w:highlight w:val="none"/>
              </w:rPr>
              <w:t>至今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测绘服务</w:t>
            </w:r>
            <w:r>
              <w:rPr>
                <w:rFonts w:ascii="Arial" w:hAnsi="Arial" w:eastAsia="等线" w:cs="Arial"/>
                <w:sz w:val="22"/>
                <w:highlight w:val="none"/>
              </w:rPr>
              <w:t>项目合同业绩，每1个得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5</w:t>
            </w:r>
            <w:r>
              <w:rPr>
                <w:rFonts w:ascii="Arial" w:hAnsi="Arial" w:eastAsia="等线" w:cs="Arial"/>
                <w:sz w:val="22"/>
                <w:highlight w:val="none"/>
              </w:rPr>
              <w:t>分，最高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15</w:t>
            </w:r>
            <w:r>
              <w:rPr>
                <w:rFonts w:ascii="Arial" w:hAnsi="Arial" w:eastAsia="等线" w:cs="Arial"/>
                <w:sz w:val="22"/>
                <w:highlight w:val="none"/>
              </w:rPr>
              <w:t>分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；</w:t>
            </w:r>
            <w:r>
              <w:rPr>
                <w:rFonts w:ascii="Arial" w:hAnsi="Arial" w:eastAsia="等线" w:cs="Arial"/>
                <w:sz w:val="22"/>
                <w:highlight w:val="none"/>
              </w:rPr>
              <w:t>无类似项目业绩或未提供合同复印件（加盖公章）的不得分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；</w:t>
            </w:r>
          </w:p>
          <w:p w14:paraId="6FBCF19D">
            <w:pPr>
              <w:numPr>
                <w:ilvl w:val="0"/>
                <w:numId w:val="1"/>
              </w:num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拟派的项目负责人，提供项目负责人姓名、项目负责人身份证复印件、项目负责人提供磋商截止日前六个月内至少1个月的缴纳社会保险证明（提供复印件并加盖公章），否则不予认定加分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得5分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。</w:t>
            </w:r>
          </w:p>
          <w:p w14:paraId="0778E0E8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项目负责人具有本科或以上学历，提供学历证证书复印件加盖公章的得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分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。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 xml:space="preserve"> </w:t>
            </w:r>
          </w:p>
          <w:p w14:paraId="644DD478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项目负责人具备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中级职称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及以上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证书，提供职称证书复印件加盖公章的得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分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。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B5EF7">
            <w:pPr>
              <w:rPr>
                <w:highlight w:val="none"/>
              </w:rPr>
            </w:pPr>
          </w:p>
        </w:tc>
        <w:tc>
          <w:tcPr>
            <w:tcW w:w="13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154AC">
            <w:pPr>
              <w:rPr>
                <w:highlight w:val="none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0237E">
            <w:pPr>
              <w:rPr>
                <w:highlight w:val="none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7E378">
            <w:pPr>
              <w:spacing w:before="120" w:after="120" w:line="288" w:lineRule="auto"/>
              <w:jc w:val="left"/>
              <w:rPr>
                <w:highlight w:val="none"/>
              </w:rPr>
            </w:pPr>
            <w:r>
              <w:rPr>
                <w:rFonts w:ascii="Arial" w:hAnsi="Arial" w:eastAsia="等线" w:cs="Arial"/>
                <w:sz w:val="22"/>
                <w:highlight w:val="none"/>
              </w:rPr>
              <w:t>需核查业绩合同复印件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及人员资质等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。</w:t>
            </w:r>
          </w:p>
        </w:tc>
      </w:tr>
      <w:tr w14:paraId="5966A69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4878B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三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164F6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主观分</w:t>
            </w:r>
            <w:r>
              <w:rPr>
                <w:rFonts w:ascii="Arial" w:hAnsi="Arial" w:eastAsia="等线" w:cs="Arial"/>
                <w:sz w:val="22"/>
                <w:highlight w:val="none"/>
              </w:rPr>
              <w:t>（第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三</w:t>
            </w:r>
            <w:r>
              <w:rPr>
                <w:rFonts w:ascii="Arial" w:hAnsi="Arial" w:eastAsia="等线" w:cs="Arial"/>
                <w:sz w:val="22"/>
                <w:highlight w:val="none"/>
              </w:rPr>
              <w:t>部分）</w:t>
            </w:r>
          </w:p>
        </w:tc>
        <w:tc>
          <w:tcPr>
            <w:tcW w:w="8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03D75">
            <w:pPr>
              <w:spacing w:before="120" w:after="120" w:line="288" w:lineRule="auto"/>
              <w:jc w:val="left"/>
              <w:rPr>
                <w:rFonts w:hint="default" w:ascii="Arial" w:hAnsi="Arial" w:eastAsia="等线" w:cs="Arial"/>
                <w:sz w:val="22"/>
                <w:highlight w:val="no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60</w:t>
            </w:r>
            <w:r>
              <w:rPr>
                <w:rFonts w:ascii="Arial" w:hAnsi="Arial" w:eastAsia="等线" w:cs="Arial"/>
                <w:sz w:val="22"/>
                <w:highlight w:val="none"/>
              </w:rPr>
              <w:t>分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DD36C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1. 项目理解与总体思路（10分）</w:t>
            </w:r>
          </w:p>
          <w:p w14:paraId="41CB8462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‌9～10分‌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对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项目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建筑年代、结构类型及加固改造目标理解深刻；总体思路清晰，测绘范围界定准确，与后续安全鉴定、结构复核环节衔接紧密，具备前瞻性。</w:t>
            </w:r>
          </w:p>
          <w:p w14:paraId="04FC0A4A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‌7～8分‌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项目背景认知较全面；思路合理，测绘边界明确，能与加固设计需求基本匹配。</w:t>
            </w:r>
          </w:p>
          <w:p w14:paraId="265C8D37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‌5～6分‌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理解基本到位；思路较为常规，测绘范围与加固需求对应关系一般。</w:t>
            </w:r>
          </w:p>
          <w:p w14:paraId="6A4314AA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‌0～4分‌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理解存在偏差或遗漏；思路模糊，缺乏针对性，未体现加固改造项目特殊性。</w:t>
            </w:r>
          </w:p>
          <w:p w14:paraId="5825881A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2. 测绘技术方案与实施路径（15分）</w:t>
            </w:r>
          </w:p>
          <w:p w14:paraId="7F649E6F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‌13～15分‌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技术路线先进科学，合理采用三维激光扫描、无人机倾斜摄影与全站仪/RTK组合测量；数据处理流程规范，点云建模、BIM轻量化及CAD出图路径清晰；精度控制指标严于国家规范，与主体结构承载力复核需求高度契合。</w:t>
            </w:r>
          </w:p>
          <w:p w14:paraId="594B549C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‌10～12分‌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技术方案完整，设备选型合理；数据处理与成果输出路径明确；精度控制符合规范，具备可操作性。</w:t>
            </w:r>
          </w:p>
          <w:p w14:paraId="34C9FB9E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‌7～9分‌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方案基本合理，技术方法常规；数据处理流程较简略；精度控制满足基本要求。</w:t>
            </w:r>
          </w:p>
          <w:p w14:paraId="3BEDC0DB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‌0～6分‌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技术路线陈旧或存在缺陷；设备配置不足；数据处理与成果交付路径不清，缺乏可行性。</w:t>
            </w:r>
          </w:p>
          <w:p w14:paraId="08DD3A55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3. 项目团队配置与专业能力（10分）</w:t>
            </w:r>
          </w:p>
          <w:p w14:paraId="4001A568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‌9～10分‌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项目负责人具备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中级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工程师职称，主持过3项以上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相关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测绘业绩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；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人员社保及执业资格证明齐全。</w:t>
            </w:r>
          </w:p>
          <w:p w14:paraId="667A81A5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‌7～8分‌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负责人资质达标，具备2项相关业绩；团队专业覆盖全面，人员配置合理。</w:t>
            </w:r>
          </w:p>
          <w:p w14:paraId="07D30ED0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‌5～6分‌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负责人具备基本资质；团队人员数量满足要求，但同类业绩或专业深度一般。</w:t>
            </w:r>
          </w:p>
          <w:p w14:paraId="2897AD02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‌0～4分‌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负责人资质不符或业绩缺失；团队配置薄弱，专业结构不完整。</w:t>
            </w:r>
          </w:p>
          <w:p w14:paraId="74EA0AF4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4. 进度控制与工期保障措施（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分）</w:t>
            </w:r>
          </w:p>
          <w:p w14:paraId="596C5B19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9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～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进度计划采用甘特图/网络图精细化编排，关键节点明确；资源配置充足，与加固施工、安全鉴定等环节交叉协调机制完善；针对不可抗力或资料提供延迟等情形制定明确顺延与赶工预案。</w:t>
            </w:r>
          </w:p>
          <w:p w14:paraId="0454CE6F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7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～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8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进度计划合理，节点清晰；资源调配基本满足需求；具备常规延期应对措施。</w:t>
            </w:r>
          </w:p>
          <w:p w14:paraId="2E7FE7F3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～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进度计划较粗，节点划分不够细致；保障措施较为笼统。</w:t>
            </w:r>
          </w:p>
          <w:p w14:paraId="5D983EF9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‌0～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缺乏系统进度计划；无有效保障措施，工期风险不可控。</w:t>
            </w:r>
          </w:p>
          <w:p w14:paraId="67F677F4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5. 质量控制与成果交付标准（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分）</w:t>
            </w:r>
          </w:p>
          <w:p w14:paraId="59C043C8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9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～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建立三级质量审核体系；数据采集、处理、成图环节设置独立校核岗；成果交付包含原始数据、点云模型、二维图纸、三维可视化文件及质量自检报告，格式符合《工程测量标准》及天津市地方规范。</w:t>
            </w:r>
          </w:p>
          <w:p w14:paraId="70A30520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7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～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8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质控体系完整，校核流程明确；成果交付清单清晰，符合国家标准。</w:t>
            </w:r>
          </w:p>
          <w:p w14:paraId="7104740A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～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质控措施基本建立；成果交付要求较简单，规范性一般。</w:t>
            </w:r>
          </w:p>
          <w:p w14:paraId="225CDD6A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‌0～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缺乏有效质控机制；成果交付标准不明确或不符合规范。</w:t>
            </w:r>
          </w:p>
          <w:p w14:paraId="7729B78F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6. 安全文明作业与应急预案（5分）</w:t>
            </w:r>
          </w:p>
          <w:p w14:paraId="35C497B3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‌5分‌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针对校园教学秩序、人员密集环境制定专项安全管控方案；明确低噪、防尘、围挡设置要求；对老旧结构开裂、变形等异常状况设置实时监测与停工上报机制；应急预案流程清晰、责任到人、演练计划完备。</w:t>
            </w:r>
          </w:p>
          <w:p w14:paraId="51BA7C55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‌3～4分‌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安全文明措施完整；具备基本应急预案，责任分工明确。</w:t>
            </w:r>
          </w:p>
          <w:p w14:paraId="6362852C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‌1～2分‌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安全措施较简略；应急预案缺乏针对性或可操作性。</w:t>
            </w:r>
          </w:p>
          <w:p w14:paraId="6C578403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highlight w:val="none"/>
              </w:rPr>
            </w:pPr>
            <w:r>
              <w:rPr>
                <w:rFonts w:hint="eastAsia" w:ascii="Arial" w:hAnsi="Arial" w:eastAsia="等线" w:cs="Arial"/>
                <w:sz w:val="22"/>
                <w:highlight w:val="none"/>
              </w:rPr>
              <w:t>‌0分‌</w:t>
            </w:r>
            <w:r>
              <w:rPr>
                <w:rFonts w:hint="eastAsia" w:ascii="Arial" w:hAnsi="Arial" w:eastAsia="等线" w:cs="Arial"/>
                <w:sz w:val="22"/>
                <w:highlight w:val="none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highlight w:val="none"/>
              </w:rPr>
              <w:t>无安全管控方案或应急预案严重缺失。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ACEEE">
            <w:pPr>
              <w:rPr>
                <w:highlight w:val="none"/>
              </w:rPr>
            </w:pPr>
          </w:p>
        </w:tc>
        <w:tc>
          <w:tcPr>
            <w:tcW w:w="13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0F27E">
            <w:pPr>
              <w:rPr>
                <w:highlight w:val="none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6A873">
            <w:pPr>
              <w:rPr>
                <w:highlight w:val="none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C26E4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  <w:highlight w:val="none"/>
              </w:rPr>
            </w:pPr>
          </w:p>
        </w:tc>
      </w:tr>
      <w:tr w14:paraId="187A41C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6B80D">
            <w:pPr>
              <w:spacing w:before="120" w:after="120" w:line="288" w:lineRule="auto"/>
              <w:jc w:val="left"/>
              <w:rPr>
                <w:highlight w:val="none"/>
              </w:rPr>
            </w:pPr>
          </w:p>
        </w:tc>
        <w:tc>
          <w:tcPr>
            <w:tcW w:w="1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59E17">
            <w:pPr>
              <w:spacing w:before="120" w:after="120" w:line="288" w:lineRule="auto"/>
              <w:jc w:val="left"/>
              <w:rPr>
                <w:highlight w:val="none"/>
              </w:rPr>
            </w:pPr>
            <w:r>
              <w:rPr>
                <w:rFonts w:ascii="Arial" w:hAnsi="Arial" w:eastAsia="等线" w:cs="Arial"/>
                <w:sz w:val="22"/>
                <w:highlight w:val="none"/>
              </w:rPr>
              <w:t>合计</w:t>
            </w:r>
          </w:p>
        </w:tc>
        <w:tc>
          <w:tcPr>
            <w:tcW w:w="8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E64AD">
            <w:pPr>
              <w:spacing w:before="120" w:after="120" w:line="288" w:lineRule="auto"/>
              <w:jc w:val="left"/>
              <w:rPr>
                <w:highlight w:val="none"/>
              </w:rPr>
            </w:pPr>
            <w:r>
              <w:rPr>
                <w:rFonts w:ascii="Arial" w:hAnsi="Arial" w:eastAsia="等线" w:cs="Arial"/>
                <w:sz w:val="22"/>
                <w:highlight w:val="none"/>
              </w:rPr>
              <w:t>100分</w:t>
            </w:r>
          </w:p>
        </w:tc>
        <w:tc>
          <w:tcPr>
            <w:tcW w:w="58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9B79A">
            <w:pPr>
              <w:spacing w:before="120" w:after="120" w:line="288" w:lineRule="auto"/>
              <w:jc w:val="left"/>
              <w:rPr>
                <w:highlight w:val="none"/>
              </w:rPr>
            </w:pPr>
            <w:r>
              <w:rPr>
                <w:rFonts w:ascii="Arial" w:hAnsi="Arial" w:eastAsia="等线" w:cs="Arial"/>
                <w:sz w:val="22"/>
                <w:highlight w:val="none"/>
              </w:rPr>
              <w:t>-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11ADE">
            <w:pPr>
              <w:rPr>
                <w:highlight w:val="none"/>
              </w:rPr>
            </w:pPr>
          </w:p>
        </w:tc>
        <w:tc>
          <w:tcPr>
            <w:tcW w:w="13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A4A06">
            <w:pPr>
              <w:rPr>
                <w:highlight w:val="none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2F8CC">
            <w:pPr>
              <w:rPr>
                <w:highlight w:val="none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0228C">
            <w:pPr>
              <w:rPr>
                <w:highlight w:val="none"/>
              </w:rPr>
            </w:pPr>
          </w:p>
        </w:tc>
      </w:tr>
    </w:tbl>
    <w:p w14:paraId="3FAD35C8">
      <w:pPr>
        <w:spacing w:before="320" w:after="120" w:line="288" w:lineRule="auto"/>
        <w:jc w:val="left"/>
        <w:outlineLvl w:val="1"/>
      </w:pPr>
    </w:p>
    <w:sectPr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F64ACB"/>
    <w:multiLevelType w:val="singleLevel"/>
    <w:tmpl w:val="7BF64A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65"/>
    <w:rsid w:val="000633CF"/>
    <w:rsid w:val="000D2771"/>
    <w:rsid w:val="00243BFA"/>
    <w:rsid w:val="003D7265"/>
    <w:rsid w:val="003E5F19"/>
    <w:rsid w:val="003F3392"/>
    <w:rsid w:val="007228BB"/>
    <w:rsid w:val="007519A5"/>
    <w:rsid w:val="008E778A"/>
    <w:rsid w:val="00AE6B13"/>
    <w:rsid w:val="00C11176"/>
    <w:rsid w:val="00C62007"/>
    <w:rsid w:val="00D063AD"/>
    <w:rsid w:val="00D91A01"/>
    <w:rsid w:val="00DA564F"/>
    <w:rsid w:val="00DF6BB4"/>
    <w:rsid w:val="00F40150"/>
    <w:rsid w:val="00FD2A2E"/>
    <w:rsid w:val="09B244EF"/>
    <w:rsid w:val="0D4912D9"/>
    <w:rsid w:val="0D555B64"/>
    <w:rsid w:val="21A92C42"/>
    <w:rsid w:val="27D1338D"/>
    <w:rsid w:val="2B2D0838"/>
    <w:rsid w:val="3397760C"/>
    <w:rsid w:val="39510606"/>
    <w:rsid w:val="44EB4647"/>
    <w:rsid w:val="4A4D4220"/>
    <w:rsid w:val="55A5528A"/>
    <w:rsid w:val="5AB6484B"/>
    <w:rsid w:val="61986A4A"/>
    <w:rsid w:val="64DD23A7"/>
    <w:rsid w:val="6A5079C7"/>
    <w:rsid w:val="7ECB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1440"/>
    </w:pPr>
    <w:rPr>
      <w:rFonts w:hint="eastAsia" w:ascii="Arial Unicode MS" w:hAnsi="Arial Unicode MS" w:eastAsia="Arial Unicode MS" w:cs="Arial Unicode MS"/>
      <w:color w:val="000000"/>
      <w:sz w:val="32"/>
      <w:szCs w:val="32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Xmart</Company>
  <Pages>5</Pages>
  <Words>1666</Words>
  <Characters>1715</Characters>
  <Lines>36</Lines>
  <Paragraphs>31</Paragraphs>
  <TotalTime>11</TotalTime>
  <ScaleCrop>false</ScaleCrop>
  <LinksUpToDate>false</LinksUpToDate>
  <CharactersWithSpaces>1722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2025-12-31T08:06:00Z</dcterms:created>
  <dc:creator>Apache POI</dc:creator>
  <cp:lastModifiedBy>孙克平</cp:lastModifiedBy>
  <dcterms:modified xsi:type="dcterms:W3CDTF">2026-06-03T02:38:56Z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eyJoZGlkIjoiZDg5ZTVkYjE5YTMzZWZkYzgyZTQ3ZGM4YWRmMjNmM2QiLCJ1c2VySWQiOiIxNjc0NDY0MjcyIn0=</vt:lpwstr>
  </property>
  <property fmtid="{D5CDD505-2E9C-101B-9397-08002B2CF9AE}" pid="3" name="KSOProductBuildVer">
    <vt:lpwstr>2052-12.1.0.23542</vt:lpwstr>
  </property>
  <property fmtid="{D5CDD505-2E9C-101B-9397-08002B2CF9AE}" pid="4" name="ICV">
    <vt:lpwstr>6664733A3D2A46F8B96B6E28C1BC469F_13</vt:lpwstr>
  </property>
</Properties>
</file>